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7E23">
      <w:pPr>
        <w:spacing w:line="560" w:lineRule="exact"/>
        <w:rPr>
          <w:rFonts w:ascii="仿宋" w:eastAsia="仿宋"/>
          <w:sz w:val="32"/>
          <w:szCs w:val="32"/>
        </w:rPr>
      </w:pPr>
      <w:r>
        <w:rPr>
          <w:rFonts w:ascii="仿宋" w:eastAsia="仿宋"/>
          <w:sz w:val="32"/>
          <w:szCs w:val="32"/>
        </w:rPr>
        <w:pict>
          <v:shape id="艺术字 6" o:spid="_x0000_s1027" o:spt="136" type="#_x0000_t136" style="position:absolute;left:0pt;margin-left:4.8pt;margin-top:16.85pt;height:58.55pt;width:306.85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咸宁市交通运输局&#10;" style="font-family:新宋体;font-size:36pt;font-weight:bold;v-text-align:center;"/>
            <w10:wrap type="square"/>
          </v:shape>
        </w:pict>
      </w:r>
    </w:p>
    <w:p w14:paraId="3DEB50B9">
      <w:pPr>
        <w:spacing w:line="560" w:lineRule="exact"/>
        <w:rPr>
          <w:rFonts w:ascii="仿宋" w:eastAsia="仿宋"/>
          <w:sz w:val="32"/>
          <w:szCs w:val="32"/>
        </w:rPr>
      </w:pPr>
      <w:r>
        <w:rPr>
          <w:rFonts w:ascii="仿宋" w:eastAsia="仿宋"/>
          <w:sz w:val="32"/>
          <w:szCs w:val="32"/>
        </w:rPr>
        <w:pict>
          <v:shape id="_x0000_s1028" o:spid="_x0000_s1028" o:spt="136" type="#_x0000_t136" style="position:absolute;left:0pt;margin-left:4.4pt;margin-top:32.05pt;height:68.3pt;width:117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文件&#10;" style="font-family:新宋体;font-size:36pt;font-weight:bold;v-text-align:center;"/>
            <w10:wrap type="square"/>
          </v:shape>
        </w:pict>
      </w:r>
    </w:p>
    <w:p w14:paraId="4DCD9640">
      <w:pPr>
        <w:spacing w:line="560" w:lineRule="exact"/>
        <w:rPr>
          <w:rFonts w:hint="eastAsia" w:ascii="仿宋" w:eastAsia="仿宋"/>
          <w:sz w:val="32"/>
          <w:szCs w:val="32"/>
        </w:rPr>
      </w:pPr>
      <w:r>
        <w:pict>
          <v:shape id="艺术字 2" o:spid="_x0000_s1029" o:spt="136" type="#_x0000_t136" style="position:absolute;left:0pt;margin-left:4.8pt;margin-top:41.25pt;height:53.3pt;width:306.85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咸宁市财政局&#10;" style="font-family:新宋体;font-size:36pt;font-weight:bold;v-text-align:center;"/>
            <w10:wrap type="square"/>
          </v:shape>
        </w:pict>
      </w:r>
    </w:p>
    <w:p w14:paraId="2C1AE1C2">
      <w:pPr>
        <w:spacing w:line="560" w:lineRule="exact"/>
        <w:rPr>
          <w:rFonts w:ascii="仿宋" w:eastAsia="仿宋"/>
          <w:sz w:val="32"/>
          <w:szCs w:val="32"/>
        </w:rPr>
      </w:pPr>
    </w:p>
    <w:p w14:paraId="12DC82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eastAsia="仿宋"/>
          <w:sz w:val="32"/>
          <w:szCs w:val="32"/>
        </w:rPr>
      </w:pPr>
      <w:r>
        <w:rPr>
          <w:rFonts w:hint="eastAsia" w:ascii="仿宋_GB2312" w:eastAsia="仿宋_GB2312" w:cs="仿宋_GB2312"/>
          <w:sz w:val="32"/>
          <w:szCs w:val="32"/>
        </w:rPr>
        <w:t xml:space="preserve"> </w:t>
      </w:r>
      <w:r>
        <w:rPr>
          <w:rFonts w:hint="eastAsia" w:ascii="仿宋_GB2312" w:eastAsia="仿宋_GB2312"/>
          <w:sz w:val="32"/>
        </w:rPr>
        <w:t>咸交发〔202</w:t>
      </w:r>
      <w:r>
        <w:rPr>
          <w:rFonts w:hint="eastAsia" w:ascii="仿宋_GB2312" w:eastAsia="仿宋_GB2312"/>
          <w:sz w:val="32"/>
          <w:lang w:val="en-US" w:eastAsia="zh-CN"/>
        </w:rPr>
        <w:t>6</w:t>
      </w:r>
      <w:r>
        <w:rPr>
          <w:rFonts w:hint="eastAsia" w:ascii="仿宋_GB2312" w:eastAsia="仿宋_GB2312"/>
          <w:sz w:val="32"/>
        </w:rPr>
        <w:t>〕</w:t>
      </w:r>
      <w:r>
        <w:rPr>
          <w:rFonts w:hint="eastAsia" w:ascii="仿宋_GB2312" w:eastAsia="仿宋_GB2312"/>
          <w:sz w:val="32"/>
          <w:lang w:val="en-US" w:eastAsia="zh-CN"/>
        </w:rPr>
        <w:t>1</w:t>
      </w:r>
      <w:r>
        <w:rPr>
          <w:rFonts w:hint="eastAsia" w:ascii="仿宋_GB2312" w:eastAsia="仿宋_GB2312"/>
          <w:sz w:val="32"/>
        </w:rPr>
        <w:t>号</w:t>
      </w:r>
    </w:p>
    <w:p w14:paraId="709ECE0E">
      <w:pPr>
        <w:spacing w:line="560" w:lineRule="exact"/>
        <w:rPr>
          <w:rFonts w:ascii="方正小标宋简体" w:eastAsia="方正小标宋简体"/>
          <w:b/>
          <w:bCs/>
          <w:color w:val="000000"/>
          <w:sz w:val="36"/>
          <w:szCs w:val="36"/>
          <w:u w:val="single"/>
        </w:rPr>
      </w:pPr>
      <w:r>
        <w:rPr>
          <w:rFonts w:ascii="宋体" w:hAnsi="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600700" cy="0"/>
                <wp:effectExtent l="0" t="12700" r="0" b="15875"/>
                <wp:wrapNone/>
                <wp:docPr id="1" name="直线 6"/>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8.85pt;height:0pt;width:441pt;z-index:251660288;mso-width-relative:page;mso-height-relative:page;" filled="f" stroked="t" coordsize="21600,21600" o:gfxdata="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LgIn7TAAAA&#10;BgEAAA8AAAAAAAAAAQAgAAAAIgAAAGRycy9kb3ducmV2LnhtbFBLAQIUABQAAAAIAIdO4kB0uslA&#10;6QEAANwDAAAOAAAAAAAAAAEAIAAAACIBAABkcnMvZTJvRG9jLnhtbFBLBQYAAAAABgAGAFkBAAB9&#10;BQAAAAA=&#10;">
                <v:fill on="f" focussize="0,0"/>
                <v:stroke weight="2pt" color="#FF0000" joinstyle="round"/>
                <v:imagedata o:title=""/>
                <o:lock v:ext="edit" aspectratio="f"/>
              </v:line>
            </w:pict>
          </mc:Fallback>
        </mc:AlternateContent>
      </w:r>
    </w:p>
    <w:p w14:paraId="4F4CEB90">
      <w:pPr>
        <w:spacing w:line="560" w:lineRule="exact"/>
        <w:rPr>
          <w:rFonts w:ascii="方正小标宋简体" w:eastAsia="方正小标宋简体"/>
          <w:b/>
          <w:bCs/>
          <w:color w:val="000000"/>
          <w:sz w:val="36"/>
          <w:szCs w:val="36"/>
          <w:u w:val="single"/>
        </w:rPr>
      </w:pPr>
    </w:p>
    <w:p w14:paraId="10D992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val="0"/>
          <w:bCs w:val="0"/>
          <w:sz w:val="44"/>
          <w:szCs w:val="44"/>
        </w:rPr>
        <w:t>关于</w:t>
      </w:r>
      <w:r>
        <w:rPr>
          <w:rFonts w:hint="eastAsia" w:ascii="方正公文小标宋" w:hAnsi="方正公文小标宋" w:eastAsia="方正公文小标宋" w:cs="方正公文小标宋"/>
          <w:b w:val="0"/>
          <w:bCs w:val="0"/>
          <w:sz w:val="44"/>
          <w:szCs w:val="44"/>
          <w:lang w:val="en-US" w:eastAsia="zh-CN"/>
        </w:rPr>
        <w:t>修改</w:t>
      </w:r>
      <w:r>
        <w:rPr>
          <w:rFonts w:hint="eastAsia" w:ascii="方正公文小标宋" w:hAnsi="方正公文小标宋" w:eastAsia="方正公文小标宋" w:cs="方正公文小标宋"/>
          <w:b w:val="0"/>
          <w:bCs w:val="0"/>
          <w:sz w:val="44"/>
          <w:szCs w:val="44"/>
        </w:rPr>
        <w:t>《咸宁市支持现代物流业发展奖补政策实施细则》的通知</w:t>
      </w:r>
    </w:p>
    <w:p w14:paraId="5A3B5415">
      <w:pPr>
        <w:spacing w:line="560" w:lineRule="exact"/>
        <w:ind w:firstLine="2052" w:firstLineChars="570"/>
        <w:rPr>
          <w:rFonts w:ascii="方正小标宋简体" w:eastAsia="方正小标宋简体"/>
          <w:sz w:val="36"/>
          <w:szCs w:val="36"/>
        </w:rPr>
      </w:pPr>
    </w:p>
    <w:p w14:paraId="656CA419">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交通运输局，财政局：​</w:t>
      </w:r>
    </w:p>
    <w:p w14:paraId="60B2AB55">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为深入贯彻党中央、国务院关于全国统一大市场建设的决策部署，促进市场公平竞争，优化营商环境，</w:t>
      </w:r>
      <w:r>
        <w:rPr>
          <w:rFonts w:hint="eastAsia" w:ascii="仿宋_GB2312" w:hAnsi="仿宋_GB2312" w:eastAsia="仿宋_GB2312" w:cs="仿宋_GB2312"/>
          <w:sz w:val="32"/>
          <w:szCs w:val="32"/>
          <w:lang w:eastAsia="zh-CN"/>
        </w:rPr>
        <w:t>市交通运输局、市财政局</w:t>
      </w:r>
      <w:r>
        <w:rPr>
          <w:rFonts w:hint="eastAsia" w:ascii="仿宋_GB2312" w:hAnsi="仿宋_GB2312" w:eastAsia="仿宋_GB2312" w:cs="仿宋_GB2312"/>
          <w:sz w:val="32"/>
          <w:szCs w:val="32"/>
        </w:rPr>
        <w:t>对涉及的行政规范性文件进行了清理，决定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《咸宁市支持现代物流业发展奖补政策实施细则》部分内容予以修改。​</w:t>
      </w:r>
    </w:p>
    <w:p w14:paraId="1617950D">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1.删去第三条、第六条第三项全部内容。</w:t>
      </w:r>
    </w:p>
    <w:p w14:paraId="76041812">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2.将第六条第一项第二款“补贴对象为《实施意见》有效期内新入驻的市场主体”</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修改为“</w:t>
      </w:r>
      <w:r>
        <w:rPr>
          <w:rFonts w:hint="eastAsia" w:ascii="仿宋_GB2312" w:hAnsi="仿宋_GB2312" w:eastAsia="仿宋_GB2312" w:cs="仿宋_GB2312"/>
          <w:b w:val="0"/>
          <w:bCs w:val="0"/>
          <w:sz w:val="32"/>
          <w:szCs w:val="32"/>
          <w:lang w:val="en-US" w:eastAsia="zh-CN"/>
        </w:rPr>
        <w:t>补贴</w:t>
      </w:r>
      <w:r>
        <w:rPr>
          <w:rFonts w:hint="eastAsia" w:ascii="仿宋_GB2312" w:hAnsi="仿宋_GB2312" w:eastAsia="仿宋_GB2312" w:cs="仿宋_GB2312"/>
          <w:sz w:val="32"/>
          <w:szCs w:val="32"/>
          <w:lang w:val="en-US" w:eastAsia="zh-CN"/>
        </w:rPr>
        <w:t>对象为</w:t>
      </w:r>
      <w:r>
        <w:rPr>
          <w:rFonts w:hint="eastAsia" w:ascii="仿宋_GB2312" w:hAnsi="仿宋_GB2312" w:eastAsia="仿宋_GB2312" w:cs="仿宋_GB2312"/>
          <w:i w:val="0"/>
          <w:iCs w:val="0"/>
          <w:caps w:val="0"/>
          <w:color w:val="auto"/>
          <w:spacing w:val="0"/>
          <w:sz w:val="32"/>
          <w:szCs w:val="32"/>
          <w:shd w:val="clear" w:color="auto" w:fill="FFFFFF"/>
        </w:rPr>
        <w:t>《实施意见》</w:t>
      </w:r>
      <w:r>
        <w:rPr>
          <w:rFonts w:hint="eastAsia" w:ascii="仿宋_GB2312" w:hAnsi="仿宋_GB2312" w:eastAsia="仿宋_GB2312" w:cs="仿宋_GB2312"/>
          <w:i w:val="0"/>
          <w:iCs w:val="0"/>
          <w:caps w:val="0"/>
          <w:color w:val="auto"/>
          <w:spacing w:val="0"/>
          <w:sz w:val="32"/>
          <w:szCs w:val="32"/>
          <w:shd w:val="clear" w:color="auto" w:fill="FFFFFF"/>
          <w:lang w:val="en-US" w:eastAsia="zh-CN"/>
        </w:rPr>
        <w:t>施行后入驻园区的主体”</w:t>
      </w:r>
    </w:p>
    <w:p w14:paraId="738F1475">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3.根据修改情况对全文结构层次序数作相应调整。</w:t>
      </w:r>
    </w:p>
    <w:p w14:paraId="0DA43486">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4.修改后的文件有效期按原《实施细则》规定的有效期执行。</w:t>
      </w:r>
    </w:p>
    <w:p w14:paraId="0C279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p>
    <w:p w14:paraId="02C8D2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lang w:val="en-US" w:eastAsia="zh-CN"/>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附件：</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ab/>
        <w:t>《咸宁市支持现代物流业发展奖补政策的实施细则》</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br w:type="textWrapping"/>
      </w:r>
    </w:p>
    <w:p w14:paraId="5ED0F1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 xml:space="preserve">咸宁市交通运输局         咸宁市财政局    </w:t>
      </w:r>
    </w:p>
    <w:p w14:paraId="409B41DB">
      <w:pPr>
        <w:spacing w:line="560" w:lineRule="exact"/>
        <w:ind w:firstLine="6080" w:firstLineChars="1900"/>
        <w:rPr>
          <w:rFonts w:ascii="仿宋_GB2312" w:eastAsia="仿宋_GB2312"/>
          <w:sz w:val="32"/>
          <w:szCs w:val="32"/>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2026年</w:t>
      </w:r>
      <w:r>
        <w:rPr>
          <w:rFonts w:hint="eastAsia" w:ascii="仿宋_GB2312" w:hAnsi="微软雅黑" w:cs="仿宋_GB2312"/>
          <w:i w:val="0"/>
          <w:iCs w:val="0"/>
          <w:caps w:val="0"/>
          <w:color w:val="000000"/>
          <w:spacing w:val="0"/>
          <w:kern w:val="0"/>
          <w:sz w:val="32"/>
          <w:szCs w:val="32"/>
          <w:shd w:val="clear" w:color="auto" w:fill="FFFFFF"/>
          <w:lang w:val="en-US" w:eastAsia="zh-CN" w:bidi="ar"/>
        </w:rPr>
        <w:t>1</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 xml:space="preserve">月6日  </w:t>
      </w:r>
      <w:r>
        <w:rPr>
          <w:rFonts w:hint="eastAsia" w:ascii="仿宋_GB2312" w:eastAsia="仿宋_GB2312" w:cs="仿宋_GB2312"/>
          <w:sz w:val="32"/>
          <w:szCs w:val="32"/>
        </w:rPr>
        <w:t xml:space="preserve"> </w:t>
      </w:r>
    </w:p>
    <w:p w14:paraId="0A8C2E22">
      <w:pPr>
        <w:spacing w:line="560" w:lineRule="exact"/>
        <w:rPr>
          <w:rFonts w:ascii="仿宋_GB2312" w:eastAsia="仿宋_GB2312" w:cs="仿宋_GB2312"/>
          <w:sz w:val="32"/>
          <w:szCs w:val="32"/>
          <w:u w:val="single"/>
        </w:rPr>
      </w:pPr>
    </w:p>
    <w:p w14:paraId="3FC0F001">
      <w:pPr>
        <w:spacing w:line="560" w:lineRule="exact"/>
        <w:rPr>
          <w:rFonts w:ascii="仿宋_GB2312" w:eastAsia="仿宋_GB2312" w:cs="仿宋_GB2312"/>
          <w:sz w:val="32"/>
          <w:szCs w:val="32"/>
          <w:u w:val="single"/>
        </w:rPr>
      </w:pPr>
    </w:p>
    <w:p w14:paraId="7983E411">
      <w:pPr>
        <w:spacing w:line="560" w:lineRule="exact"/>
        <w:rPr>
          <w:rFonts w:ascii="仿宋_GB2312" w:eastAsia="仿宋_GB2312" w:cs="仿宋_GB2312"/>
          <w:sz w:val="32"/>
          <w:szCs w:val="32"/>
          <w:u w:val="single"/>
        </w:rPr>
      </w:pP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p>
    <w:p w14:paraId="272F94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仿宋_GB2312" w:eastAsia="仿宋_GB2312" w:cs="仿宋_GB2312"/>
          <w:sz w:val="32"/>
          <w:szCs w:val="32"/>
          <w:u w:val="single"/>
        </w:rPr>
      </w:pP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r>
        <w:rPr>
          <w:rFonts w:ascii="仿宋_GB2312" w:eastAsia="仿宋_GB2312" w:cs="仿宋_GB2312"/>
          <w:sz w:val="32"/>
          <w:szCs w:val="32"/>
          <w:u w:val="single"/>
        </w:rPr>
        <w:br w:type="textWrapping"/>
      </w:r>
    </w:p>
    <w:p w14:paraId="18A2EC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仿宋_GB2312" w:eastAsia="仿宋_GB2312" w:cs="仿宋_GB2312"/>
          <w:sz w:val="32"/>
          <w:szCs w:val="32"/>
          <w:u w:val="single"/>
        </w:rPr>
      </w:pPr>
    </w:p>
    <w:p w14:paraId="1B96D651">
      <w:pPr>
        <w:keepNext w:val="0"/>
        <w:keepLines w:val="0"/>
        <w:pageBreakBefore w:val="0"/>
        <w:widowControl w:val="0"/>
        <w:kinsoku/>
        <w:wordWrap/>
        <w:overflowPunct/>
        <w:topLinePunct w:val="0"/>
        <w:autoSpaceDE w:val="0"/>
        <w:autoSpaceDN w:val="0"/>
        <w:bidi w:val="0"/>
        <w:adjustRightInd/>
        <w:snapToGrid/>
        <w:spacing w:line="520" w:lineRule="exact"/>
        <w:ind w:right="0"/>
        <w:jc w:val="left"/>
        <w:textAlignment w:val="auto"/>
        <w:rPr>
          <w:rFonts w:ascii="仿宋_GB2312" w:eastAsia="仿宋_GB2312" w:cs="仿宋_GB2312"/>
          <w:sz w:val="32"/>
          <w:szCs w:val="32"/>
          <w:u w:val="single"/>
        </w:rPr>
      </w:pPr>
      <w:r>
        <w:rPr>
          <w:rFonts w:hint="eastAsia" w:ascii="黑体" w:hAnsi="黑体" w:eastAsia="黑体" w:cs="黑体"/>
          <w:b w:val="0"/>
          <w:bCs w:val="0"/>
          <w:i w:val="0"/>
          <w:color w:val="000000"/>
          <w:kern w:val="0"/>
          <w:sz w:val="32"/>
          <w:szCs w:val="32"/>
          <w:lang w:eastAsia="zh-CN"/>
        </w:rPr>
        <w:t>附件：</w:t>
      </w:r>
      <w:r>
        <w:rPr>
          <w:rFonts w:ascii="仿宋_GB2312" w:eastAsia="仿宋_GB2312" w:cs="仿宋_GB2312"/>
          <w:sz w:val="32"/>
          <w:szCs w:val="32"/>
          <w:u w:val="single"/>
        </w:rPr>
        <w:br w:type="textWrapping"/>
      </w:r>
    </w:p>
    <w:p w14:paraId="041730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jc w:val="center"/>
        <w:textAlignment w:val="auto"/>
        <w:rPr>
          <w:rFonts w:hint="eastAsia" w:ascii="方正公文小标宋" w:hAnsi="方正公文小标宋" w:eastAsia="方正公文小标宋" w:cs="方正公文小标宋"/>
          <w:b w:val="0"/>
          <w:bCs w:val="0"/>
          <w:i w:val="0"/>
          <w:iCs w:val="0"/>
          <w:caps w:val="0"/>
          <w:color w:val="auto"/>
          <w:spacing w:val="0"/>
          <w:sz w:val="44"/>
          <w:szCs w:val="44"/>
        </w:rPr>
      </w:pPr>
      <w:r>
        <w:rPr>
          <w:rFonts w:hint="eastAsia" w:ascii="方正公文小标宋" w:hAnsi="方正公文小标宋" w:eastAsia="方正公文小标宋" w:cs="方正公文小标宋"/>
          <w:b w:val="0"/>
          <w:bCs w:val="0"/>
          <w:i w:val="0"/>
          <w:iCs w:val="0"/>
          <w:caps w:val="0"/>
          <w:color w:val="auto"/>
          <w:spacing w:val="0"/>
          <w:sz w:val="44"/>
          <w:szCs w:val="44"/>
          <w:shd w:val="clear" w:fill="FFFFFF"/>
        </w:rPr>
        <w:t>咸宁市支持现代物流业发展奖补政策的实施细则</w:t>
      </w:r>
    </w:p>
    <w:p w14:paraId="6E4AF1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30"/>
        <w:jc w:val="left"/>
        <w:textAlignment w:val="auto"/>
        <w:rPr>
          <w:rFonts w:hint="default" w:ascii="仿宋" w:hAnsi="仿宋" w:eastAsia="仿宋" w:cs="仿宋"/>
          <w:i w:val="0"/>
          <w:iCs w:val="0"/>
          <w:caps w:val="0"/>
          <w:color w:val="auto"/>
          <w:spacing w:val="0"/>
          <w:sz w:val="31"/>
          <w:szCs w:val="31"/>
          <w:shd w:val="clear" w:fill="FFFFFF"/>
        </w:rPr>
      </w:pPr>
    </w:p>
    <w:p w14:paraId="45D5DD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根据《市人民政府关于支持现代物流业发展的实施意见》（咸政发〔2023〕8号）要求，制定支持现代物流业发展奖补政策实施细则如下：</w:t>
      </w:r>
    </w:p>
    <w:p w14:paraId="295D0A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黑体" w:hAnsi="黑体" w:eastAsia="黑体" w:cs="黑体"/>
          <w:i w:val="0"/>
          <w:iCs w:val="0"/>
          <w:caps w:val="0"/>
          <w:color w:val="auto"/>
          <w:spacing w:val="0"/>
          <w:sz w:val="32"/>
          <w:szCs w:val="32"/>
          <w:shd w:val="clear" w:fill="FFFFFF"/>
        </w:rPr>
      </w:pPr>
      <w:r>
        <w:rPr>
          <w:rFonts w:hint="default" w:ascii="黑体" w:hAnsi="黑体" w:eastAsia="黑体" w:cs="黑体"/>
          <w:i w:val="0"/>
          <w:iCs w:val="0"/>
          <w:caps w:val="0"/>
          <w:color w:val="auto"/>
          <w:spacing w:val="0"/>
          <w:sz w:val="32"/>
          <w:szCs w:val="32"/>
          <w:shd w:val="clear" w:fill="FFFFFF"/>
        </w:rPr>
        <w:t>第一章 总则</w:t>
      </w:r>
    </w:p>
    <w:p w14:paraId="6E027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《市人民政府关于支持现代物流业发展的实施意见》（以下简称《实施意见》）所涉奖补资金按属地管理原则，由市县财政分级承担并将所需资金纳入地方财政年度预算。</w:t>
      </w:r>
    </w:p>
    <w:p w14:paraId="4D61B4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市及各县（市、区）交通部门（咸宁市高新区管委会为科经局负责）负责所在辖区内奖补项目申报、预算编制和执行工作，市及各县（市、区）财政部门负责所在辖区内奖补资金的筹集、拨付及绩效管理。</w:t>
      </w:r>
    </w:p>
    <w:p w14:paraId="6F72A5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黑体" w:hAnsi="黑体" w:eastAsia="黑体" w:cs="黑体"/>
          <w:i w:val="0"/>
          <w:iCs w:val="0"/>
          <w:caps w:val="0"/>
          <w:color w:val="auto"/>
          <w:spacing w:val="0"/>
          <w:sz w:val="32"/>
          <w:szCs w:val="32"/>
          <w:shd w:val="clear" w:fill="FFFFFF"/>
        </w:rPr>
      </w:pPr>
      <w:r>
        <w:rPr>
          <w:rFonts w:hint="default" w:ascii="黑体" w:hAnsi="黑体" w:eastAsia="黑体" w:cs="黑体"/>
          <w:i w:val="0"/>
          <w:iCs w:val="0"/>
          <w:caps w:val="0"/>
          <w:color w:val="auto"/>
          <w:spacing w:val="0"/>
          <w:sz w:val="32"/>
          <w:szCs w:val="32"/>
          <w:shd w:val="clear" w:fill="FFFFFF"/>
        </w:rPr>
        <w:t>第二章  支持对象及条件</w:t>
      </w:r>
    </w:p>
    <w:p w14:paraId="4B8938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《实施意见》奖补对象均以单一纳税主体计算。</w:t>
      </w:r>
    </w:p>
    <w:p w14:paraId="392D5E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具有下列情形之一的市场主体不得纳入《实施意见》支持范围：</w:t>
      </w:r>
    </w:p>
    <w:p w14:paraId="098206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（一）在享受各级政府财政补助中有严重违约行为的；</w:t>
      </w:r>
    </w:p>
    <w:p w14:paraId="21BEC4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（二）信用中国网站被列入失信“黑名单”的；</w:t>
      </w:r>
    </w:p>
    <w:p w14:paraId="1849C1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（三）被列入企业经营异常名录或严重违法企业名单的；</w:t>
      </w:r>
    </w:p>
    <w:p w14:paraId="55BAEE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（四）发生较大及以上安全生产事故的情况；</w:t>
      </w:r>
    </w:p>
    <w:p w14:paraId="38702D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（五）其他不适宜申报奖补资金的情形。</w:t>
      </w:r>
    </w:p>
    <w:p w14:paraId="5848C5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黑体" w:hAnsi="黑体" w:eastAsia="黑体" w:cs="黑体"/>
          <w:i w:val="0"/>
          <w:iCs w:val="0"/>
          <w:caps w:val="0"/>
          <w:color w:val="auto"/>
          <w:spacing w:val="0"/>
          <w:sz w:val="32"/>
          <w:szCs w:val="32"/>
          <w:shd w:val="clear" w:fill="FFFFFF"/>
        </w:rPr>
      </w:pPr>
      <w:r>
        <w:rPr>
          <w:rFonts w:hint="default" w:ascii="黑体" w:hAnsi="黑体" w:eastAsia="黑体" w:cs="黑体"/>
          <w:i w:val="0"/>
          <w:iCs w:val="0"/>
          <w:caps w:val="0"/>
          <w:color w:val="auto"/>
          <w:spacing w:val="0"/>
          <w:sz w:val="32"/>
          <w:szCs w:val="32"/>
          <w:shd w:val="clear" w:fill="FFFFFF"/>
        </w:rPr>
        <w:t>第三章  支持政策和要求</w:t>
      </w:r>
    </w:p>
    <w:p w14:paraId="60ECBA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根据《实施意见》规定，在满足《实施意见》支持政策标准和以下要求的支持对象，按时提交申报资料并通过最终审核的，给予奖励补助。</w:t>
      </w:r>
    </w:p>
    <w:p w14:paraId="7ADAC4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（一）充分发挥物流园区集聚功能。</w:t>
      </w:r>
    </w:p>
    <w:p w14:paraId="7242CF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政策支持园区名单由市及各县（市、区）交通运输部门联合发改、商务、邮政管理等部门进行核定。</w:t>
      </w:r>
    </w:p>
    <w:p w14:paraId="470CA12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补贴对象为《实施意见》</w:t>
      </w:r>
      <w:r>
        <w:rPr>
          <w:rFonts w:hint="eastAsia" w:ascii="仿宋_GB2312" w:hAnsi="仿宋_GB2312" w:eastAsia="仿宋_GB2312" w:cs="仿宋_GB2312"/>
          <w:i w:val="0"/>
          <w:iCs w:val="0"/>
          <w:caps w:val="0"/>
          <w:color w:val="auto"/>
          <w:spacing w:val="0"/>
          <w:sz w:val="32"/>
          <w:szCs w:val="32"/>
          <w:shd w:val="clear" w:fill="FFFFFF"/>
          <w:lang w:eastAsia="zh-CN"/>
        </w:rPr>
        <w:t>施行后入驻园区的</w:t>
      </w:r>
      <w:r>
        <w:rPr>
          <w:rFonts w:hint="default" w:ascii="仿宋_GB2312" w:hAnsi="仿宋_GB2312" w:eastAsia="仿宋_GB2312" w:cs="仿宋_GB2312"/>
          <w:i w:val="0"/>
          <w:iCs w:val="0"/>
          <w:caps w:val="0"/>
          <w:color w:val="auto"/>
          <w:spacing w:val="0"/>
          <w:sz w:val="32"/>
          <w:szCs w:val="32"/>
          <w:shd w:val="clear" w:fill="FFFFFF"/>
        </w:rPr>
        <w:t>主体。</w:t>
      </w:r>
    </w:p>
    <w:p w14:paraId="16122A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实际租金核算以签订的合同、场地租赁发票、支付凭证为准，不含物业费、水电费等。</w:t>
      </w:r>
    </w:p>
    <w:p w14:paraId="43EFB9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4</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入驻园区的电商云仓运营公司的仓库租赁奖励等次划分，以所在地税务部门核定的数据为依据。</w:t>
      </w:r>
    </w:p>
    <w:p w14:paraId="4BDC31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（二）支持物流企业联盟。</w:t>
      </w:r>
    </w:p>
    <w:p w14:paraId="54E981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物流企业联盟的认定需有正式的联盟合同，且实现了基本的信息、运力共享。同时，联盟成员间至少存在不少于一项长期共同运作的物流业务。</w:t>
      </w:r>
    </w:p>
    <w:p w14:paraId="1EAD2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营收总额的核算，按照联盟内全部成员企业营收额为准，网络货运平台营业额不纳入年营收总额。</w:t>
      </w:r>
    </w:p>
    <w:p w14:paraId="61BB13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已获得物流企业联盟奖励的市场主体，加入或再组建其他物流企业联盟，该联盟不得申报奖励。</w:t>
      </w:r>
    </w:p>
    <w:p w14:paraId="1C132F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default" w:ascii="仿宋_GB2312" w:hAnsi="仿宋_GB2312" w:eastAsia="仿宋_GB2312" w:cs="仿宋_GB2312"/>
          <w:i w:val="0"/>
          <w:iCs w:val="0"/>
          <w:caps w:val="0"/>
          <w:color w:val="auto"/>
          <w:spacing w:val="0"/>
          <w:sz w:val="32"/>
          <w:szCs w:val="32"/>
          <w:shd w:val="clear" w:fill="FFFFFF"/>
        </w:rPr>
        <w:t>）加速物流企业提档升级。</w:t>
      </w:r>
    </w:p>
    <w:p w14:paraId="41BCB1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成功创建或通过复审的A级物流企业或星级企业冷链物流企业资质，以市场主体获得中国物流与采购联合会颁发证书为准。</w:t>
      </w:r>
    </w:p>
    <w:p w14:paraId="2C0779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在咸设立的分公司不得使用总公司等级资质作为申报凭证。</w:t>
      </w:r>
    </w:p>
    <w:p w14:paraId="433860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default" w:ascii="仿宋_GB2312" w:hAnsi="仿宋_GB2312" w:eastAsia="仿宋_GB2312" w:cs="仿宋_GB2312"/>
          <w:i w:val="0"/>
          <w:iCs w:val="0"/>
          <w:caps w:val="0"/>
          <w:color w:val="auto"/>
          <w:spacing w:val="0"/>
          <w:sz w:val="32"/>
          <w:szCs w:val="32"/>
          <w:shd w:val="clear" w:fill="FFFFFF"/>
        </w:rPr>
        <w:t>）大力培育规上物流企业。</w:t>
      </w:r>
    </w:p>
    <w:p w14:paraId="54A21D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新增纳入统计平台规上物流企业和邮政快递企业或交通运输部规上公路货运企业应在政策有效期内。</w:t>
      </w:r>
    </w:p>
    <w:p w14:paraId="157DEA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连续3年报送数据以统计部门或交通运输部门核准的2022年－2024年、2023年－2025年、2024年－2026年统计数据为准。</w:t>
      </w:r>
    </w:p>
    <w:p w14:paraId="55C1C2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default"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已纳入交通运输部规上公路货运企业，公路货运周转量排名全省前30位（含30位），按照排名前10位（含10位）分别奖励100万元，排名11至20位（含20位）分别奖励60万元，排名21至30位（含30位）分别奖励50万元标准执行。</w:t>
      </w:r>
    </w:p>
    <w:p w14:paraId="7813A6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default" w:ascii="仿宋_GB2312" w:hAnsi="仿宋_GB2312" w:eastAsia="仿宋_GB2312" w:cs="仿宋_GB2312"/>
          <w:i w:val="0"/>
          <w:iCs w:val="0"/>
          <w:caps w:val="0"/>
          <w:color w:val="auto"/>
          <w:spacing w:val="0"/>
          <w:sz w:val="32"/>
          <w:szCs w:val="32"/>
          <w:shd w:val="clear" w:fill="FFFFFF"/>
        </w:rPr>
        <w:t>4</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已纳入交通运输部规上公路货运企业，与上年度公路货运企业平均货物周转量相比增长量排名全省前50位（含50位），按照排名前10位（含10位）分别奖励100万元，排名11－30位（含30位）分别奖励60万元，排名31－50位（含50位）分别奖励50万元标准执行。</w:t>
      </w:r>
    </w:p>
    <w:p w14:paraId="2591CD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eastAsia" w:ascii="仿宋_GB2312" w:hAnsi="仿宋_GB2312" w:cs="仿宋_GB2312"/>
          <w:i w:val="0"/>
          <w:iCs w:val="0"/>
          <w:caps w:val="0"/>
          <w:color w:val="auto"/>
          <w:spacing w:val="0"/>
          <w:sz w:val="32"/>
          <w:szCs w:val="32"/>
          <w:shd w:val="clear" w:fill="FFFFFF"/>
          <w:lang w:val="en-US" w:eastAsia="zh-CN"/>
        </w:rPr>
        <w:t>5</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对当年已获得省级公路货物运输业发展奖补政策的支持对象，按照《实施意见》“涉及与本意见同一类型其他政策支持条款，按照‘就高不就低’原则只享受其中一项”之规定，不再重复给予奖励。</w:t>
      </w:r>
    </w:p>
    <w:p w14:paraId="338389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default" w:ascii="仿宋_GB2312" w:hAnsi="仿宋_GB2312" w:eastAsia="仿宋_GB2312" w:cs="仿宋_GB2312"/>
          <w:i w:val="0"/>
          <w:iCs w:val="0"/>
          <w:caps w:val="0"/>
          <w:color w:val="auto"/>
          <w:spacing w:val="0"/>
          <w:sz w:val="32"/>
          <w:szCs w:val="32"/>
          <w:shd w:val="clear" w:fill="FFFFFF"/>
        </w:rPr>
        <w:t>）推动物流企业装备升级。</w:t>
      </w:r>
    </w:p>
    <w:p w14:paraId="54D943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cs="仿宋_GB2312"/>
          <w:i w:val="0"/>
          <w:iCs w:val="0"/>
          <w:caps w:val="0"/>
          <w:color w:val="auto"/>
          <w:spacing w:val="0"/>
          <w:sz w:val="32"/>
          <w:szCs w:val="32"/>
          <w:shd w:val="clear" w:fill="FFFFFF"/>
          <w:lang w:val="en-US" w:eastAsia="zh-CN"/>
        </w:rPr>
        <w:t>.</w:t>
      </w:r>
      <w:r>
        <w:rPr>
          <w:rFonts w:hint="default" w:ascii="仿宋_GB2312" w:hAnsi="仿宋_GB2312" w:eastAsia="仿宋_GB2312" w:cs="仿宋_GB2312"/>
          <w:i w:val="0"/>
          <w:iCs w:val="0"/>
          <w:caps w:val="0"/>
          <w:color w:val="auto"/>
          <w:spacing w:val="0"/>
          <w:sz w:val="32"/>
          <w:szCs w:val="32"/>
          <w:shd w:val="clear" w:fill="FFFFFF"/>
        </w:rPr>
        <w:t>物流企业或邮政快递企业新增的标准化、自动化、智能化设备应符合推动规范运营、提升效率的基本原则。</w:t>
      </w:r>
    </w:p>
    <w:p w14:paraId="1F189F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新增设备需正式投入应用，视为有效投资。</w:t>
      </w:r>
    </w:p>
    <w:p w14:paraId="47FD33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物流设备投资额核定以设备采购合同及实际发票为准。</w:t>
      </w:r>
    </w:p>
    <w:p w14:paraId="4391A3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4</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市及各县（市、区）交通运输部门需实地核查设备采购合同与投入设备的真实性、有效性。</w:t>
      </w:r>
    </w:p>
    <w:p w14:paraId="6039EB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default" w:ascii="仿宋_GB2312" w:hAnsi="仿宋_GB2312" w:eastAsia="仿宋_GB2312" w:cs="仿宋_GB2312"/>
          <w:i w:val="0"/>
          <w:iCs w:val="0"/>
          <w:caps w:val="0"/>
          <w:color w:val="auto"/>
          <w:spacing w:val="0"/>
          <w:sz w:val="32"/>
          <w:szCs w:val="32"/>
          <w:shd w:val="clear" w:fill="FFFFFF"/>
        </w:rPr>
        <w:t>）支持拓展零担物流专线。</w:t>
      </w:r>
    </w:p>
    <w:p w14:paraId="5AB891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每年市及县（市、区）交通、经信等部门根据市场需求调查，在咸宁城市绿色货运配送公共信息服务平台发布市场所需新增专线信息。</w:t>
      </w:r>
    </w:p>
    <w:p w14:paraId="44E79C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物流企业新增专线应符合市及县（市、区）交通、经信等部门公布的专线信息要求，并在本级交通部门进行报备。</w:t>
      </w:r>
    </w:p>
    <w:p w14:paraId="04453B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新增专线运营车辆应接入咸宁城市绿色货运配送公共信息服务平台核算运营频次。</w:t>
      </w:r>
    </w:p>
    <w:p w14:paraId="51A1EB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4</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新增专线当年营业收入以所开具的运输发票金额为准。</w:t>
      </w:r>
    </w:p>
    <w:p w14:paraId="2AE41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七</w:t>
      </w:r>
      <w:r>
        <w:rPr>
          <w:rFonts w:hint="default" w:ascii="仿宋_GB2312" w:hAnsi="仿宋_GB2312" w:eastAsia="仿宋_GB2312" w:cs="仿宋_GB2312"/>
          <w:i w:val="0"/>
          <w:iCs w:val="0"/>
          <w:caps w:val="0"/>
          <w:color w:val="auto"/>
          <w:spacing w:val="0"/>
          <w:sz w:val="32"/>
          <w:szCs w:val="32"/>
          <w:shd w:val="clear" w:fill="FFFFFF"/>
        </w:rPr>
        <w:t>）推动绿色配送发展、加速推动中重型物流运输车辆新能源化。</w:t>
      </w:r>
    </w:p>
    <w:p w14:paraId="0CDC1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新增新能源货车需符合在政策有效期内首次在咸登记上牌，并接入咸宁城市绿色货运配送公共信息服务平台核算有效里程，核算范围为咸宁市全境。</w:t>
      </w:r>
    </w:p>
    <w:p w14:paraId="093121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八</w:t>
      </w:r>
      <w:r>
        <w:rPr>
          <w:rFonts w:hint="default" w:ascii="仿宋_GB2312" w:hAnsi="仿宋_GB2312" w:eastAsia="仿宋_GB2312" w:cs="仿宋_GB2312"/>
          <w:i w:val="0"/>
          <w:iCs w:val="0"/>
          <w:caps w:val="0"/>
          <w:color w:val="auto"/>
          <w:spacing w:val="0"/>
          <w:sz w:val="32"/>
          <w:szCs w:val="32"/>
          <w:shd w:val="clear" w:fill="FFFFFF"/>
        </w:rPr>
        <w:t>）大力促进物流从业人员就业。</w:t>
      </w:r>
    </w:p>
    <w:p w14:paraId="7A601F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新增就业岗位数量以政策有效期内新增劳务人员签订的就业劳动合同数量为准。</w:t>
      </w:r>
    </w:p>
    <w:p w14:paraId="0CB4DA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对原公司已聘用人员，解聘后再聘用人员不视作新增岗位。</w:t>
      </w:r>
    </w:p>
    <w:p w14:paraId="2C4051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3</w:t>
      </w:r>
      <w:r>
        <w:rPr>
          <w:rFonts w:hint="eastAsia" w:ascii="仿宋_GB2312" w:hAnsi="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rPr>
        <w:t>新增岗位所缴纳社保总额以人社部门统计数据为准。</w:t>
      </w:r>
    </w:p>
    <w:p w14:paraId="15EBD3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黑体" w:hAnsi="黑体" w:eastAsia="黑体" w:cs="黑体"/>
          <w:i w:val="0"/>
          <w:iCs w:val="0"/>
          <w:caps w:val="0"/>
          <w:color w:val="auto"/>
          <w:spacing w:val="0"/>
          <w:sz w:val="32"/>
          <w:szCs w:val="32"/>
          <w:shd w:val="clear" w:fill="FFFFFF"/>
        </w:rPr>
      </w:pPr>
      <w:r>
        <w:rPr>
          <w:rFonts w:hint="default" w:ascii="黑体" w:hAnsi="黑体" w:eastAsia="黑体" w:cs="黑体"/>
          <w:i w:val="0"/>
          <w:iCs w:val="0"/>
          <w:caps w:val="0"/>
          <w:color w:val="auto"/>
          <w:spacing w:val="0"/>
          <w:sz w:val="32"/>
          <w:szCs w:val="32"/>
          <w:shd w:val="clear" w:fill="FFFFFF"/>
        </w:rPr>
        <w:t>第四章  申报流程</w:t>
      </w:r>
    </w:p>
    <w:p w14:paraId="529A3B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奖补资金申报以年度为周期，即次年对上个年度内符合支持政策对象进行奖励。奖补申领工作原则上一年开展一次，纳入财政部门“免申即享”项目除外。市交通运输局根据《实施意见》奖补周期发布开展奖补资金申报工作的通知，各级交通部门根据《实施意见》，向所属辖区市场主体发布奖补资金申报指南，明确申报范围、申报时间、流程和所需提供资料。</w:t>
      </w:r>
    </w:p>
    <w:p w14:paraId="393527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七</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市场主体申领奖补资金应如实提交以下资料</w:t>
      </w:r>
    </w:p>
    <w:p w14:paraId="245939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（一）奖补资金申报表（详见附件1）；</w:t>
      </w:r>
    </w:p>
    <w:p w14:paraId="381CBB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（二）申报资料真实性、合法性承诺函（详见附件2）；</w:t>
      </w:r>
    </w:p>
    <w:p w14:paraId="6BDAA8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（三）所申报奖补条款的佐证资料。</w:t>
      </w:r>
    </w:p>
    <w:p w14:paraId="1EB833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八</w:t>
      </w:r>
      <w:r>
        <w:rPr>
          <w:rFonts w:hint="default" w:ascii="仿宋_GB2312" w:hAnsi="仿宋_GB2312" w:eastAsia="仿宋_GB2312" w:cs="仿宋_GB2312"/>
          <w:i w:val="0"/>
          <w:iCs w:val="0"/>
          <w:caps w:val="0"/>
          <w:color w:val="auto"/>
          <w:spacing w:val="0"/>
          <w:sz w:val="32"/>
          <w:szCs w:val="32"/>
          <w:shd w:val="clear" w:fill="FFFFFF"/>
        </w:rPr>
        <w:t>条　支持对象按照申报通知要求，编写申报报告。在规定时间内向所在地交通部门申报，并对申报报告包含信息真实性负责。</w:t>
      </w:r>
    </w:p>
    <w:p w14:paraId="5A61F5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w:t>
      </w:r>
      <w:r>
        <w:rPr>
          <w:rFonts w:hint="eastAsia" w:ascii="仿宋_GB2312" w:hAnsi="仿宋_GB2312" w:eastAsia="仿宋_GB2312" w:cs="仿宋_GB2312"/>
          <w:i w:val="0"/>
          <w:iCs w:val="0"/>
          <w:caps w:val="0"/>
          <w:color w:val="auto"/>
          <w:spacing w:val="0"/>
          <w:sz w:val="32"/>
          <w:szCs w:val="32"/>
          <w:shd w:val="clear" w:fill="FFFFFF"/>
          <w:lang w:eastAsia="zh-CN"/>
        </w:rPr>
        <w:t>九</w:t>
      </w:r>
      <w:r>
        <w:rPr>
          <w:rFonts w:hint="default" w:ascii="仿宋_GB2312" w:hAnsi="仿宋_GB2312" w:eastAsia="仿宋_GB2312" w:cs="仿宋_GB2312"/>
          <w:i w:val="0"/>
          <w:iCs w:val="0"/>
          <w:caps w:val="0"/>
          <w:color w:val="auto"/>
          <w:spacing w:val="0"/>
          <w:sz w:val="32"/>
          <w:szCs w:val="32"/>
          <w:shd w:val="clear" w:fill="FFFFFF"/>
        </w:rPr>
        <w:t>条　市及县（市、区）交通部门负责对支持对象申报报告进行初审，并按照《实施意见》分工提请各牵头单位进行复审。</w:t>
      </w:r>
    </w:p>
    <w:p w14:paraId="69C67D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市及县（市、区）交通部门负责收集汇总本辖区内初审、复审意见，并聘请第三方审计机构对审核结果进行审计。</w:t>
      </w:r>
    </w:p>
    <w:p w14:paraId="7B2036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一</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最终形成的奖补名单通过在地交通部门官方渠道向社会进行为期7天的公示。经公示无异议后报地方政府审批。</w:t>
      </w:r>
    </w:p>
    <w:p w14:paraId="7E5DDF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default" w:ascii="仿宋_GB2312" w:hAnsi="仿宋_GB2312" w:eastAsia="仿宋_GB2312" w:cs="仿宋_GB2312"/>
          <w:i w:val="0"/>
          <w:iCs w:val="0"/>
          <w:caps w:val="0"/>
          <w:color w:val="auto"/>
          <w:spacing w:val="0"/>
          <w:sz w:val="32"/>
          <w:szCs w:val="32"/>
          <w:shd w:val="clear" w:fill="FFFFFF"/>
        </w:rPr>
        <w:t>条　市及县（市、区）财政部门根据地方政府审批意见，在10个工作日内按程序下达奖补资金，市及县（市、区）交通部门在5个工作日内完成奖补资金拨付工作。</w:t>
      </w:r>
    </w:p>
    <w:p w14:paraId="413E06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黑体" w:hAnsi="黑体" w:eastAsia="黑体" w:cs="黑体"/>
          <w:i w:val="0"/>
          <w:iCs w:val="0"/>
          <w:caps w:val="0"/>
          <w:color w:val="auto"/>
          <w:spacing w:val="0"/>
          <w:sz w:val="32"/>
          <w:szCs w:val="32"/>
          <w:shd w:val="clear" w:fill="FFFFFF"/>
        </w:rPr>
      </w:pPr>
      <w:r>
        <w:rPr>
          <w:rFonts w:hint="default" w:ascii="黑体" w:hAnsi="黑体" w:eastAsia="黑体" w:cs="黑体"/>
          <w:i w:val="0"/>
          <w:iCs w:val="0"/>
          <w:caps w:val="0"/>
          <w:color w:val="auto"/>
          <w:spacing w:val="0"/>
          <w:sz w:val="32"/>
          <w:szCs w:val="32"/>
          <w:shd w:val="clear" w:fill="FFFFFF"/>
        </w:rPr>
        <w:t>第五章  绩效评价和监督管理</w:t>
      </w:r>
    </w:p>
    <w:p w14:paraId="5E2372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default" w:ascii="仿宋_GB2312" w:hAnsi="仿宋_GB2312" w:eastAsia="仿宋_GB2312" w:cs="仿宋_GB2312"/>
          <w:i w:val="0"/>
          <w:iCs w:val="0"/>
          <w:caps w:val="0"/>
          <w:color w:val="auto"/>
          <w:spacing w:val="0"/>
          <w:sz w:val="32"/>
          <w:szCs w:val="32"/>
          <w:shd w:val="clear" w:fill="FFFFFF"/>
        </w:rPr>
        <w:t>条　市及县（市、区）各级交通部门会同财政部门严格按照预算管理有关要求，开展绩效评价，切实加强资金监管，提高资金使用效益。</w:t>
      </w:r>
    </w:p>
    <w:p w14:paraId="532367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default" w:ascii="仿宋_GB2312" w:hAnsi="仿宋_GB2312" w:eastAsia="仿宋_GB2312" w:cs="仿宋_GB2312"/>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default" w:ascii="仿宋_GB2312" w:hAnsi="仿宋_GB2312" w:eastAsia="仿宋_GB2312" w:cs="仿宋_GB2312"/>
          <w:i w:val="0"/>
          <w:iCs w:val="0"/>
          <w:caps w:val="0"/>
          <w:color w:val="auto"/>
          <w:spacing w:val="0"/>
          <w:sz w:val="32"/>
          <w:szCs w:val="32"/>
          <w:shd w:val="clear" w:fill="FFFFFF"/>
        </w:rPr>
        <w:t>申报主体须对申报资料的真实性、合法性、合规性负责，不得隐瞒虚报、虚增多领和重复申报。对违反规定骗取、使用财政资金的，一律取消补助资格，并依法依规追究责任。</w:t>
      </w:r>
    </w:p>
    <w:p w14:paraId="0283F2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default" w:ascii="仿宋_GB2312" w:hAnsi="仿宋_GB2312" w:eastAsia="仿宋_GB2312" w:cs="仿宋_GB2312"/>
          <w:i w:val="0"/>
          <w:iCs w:val="0"/>
          <w:caps w:val="0"/>
          <w:color w:val="auto"/>
          <w:spacing w:val="0"/>
          <w:sz w:val="32"/>
          <w:szCs w:val="32"/>
          <w:shd w:val="clear" w:fill="FFFFFF"/>
        </w:rPr>
        <w:t>条　相关部门工作人员在奖补资金评审及发放过程中如有以权谋私、滥用职权、玩忽职守、徇私舞弊等违法违纪行为的，按照有关规定追究相应责任，构成犯罪的，依法追究刑事责任。</w:t>
      </w:r>
    </w:p>
    <w:p w14:paraId="4C22AB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第六章  附则</w:t>
      </w:r>
    </w:p>
    <w:p w14:paraId="1C0445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default" w:ascii="仿宋_GB2312" w:hAnsi="仿宋_GB2312" w:eastAsia="仿宋_GB2312" w:cs="仿宋_GB2312"/>
          <w:i w:val="0"/>
          <w:iCs w:val="0"/>
          <w:caps w:val="0"/>
          <w:color w:val="auto"/>
          <w:spacing w:val="0"/>
          <w:sz w:val="32"/>
          <w:szCs w:val="32"/>
          <w:shd w:val="clear" w:fill="FFFFFF"/>
        </w:rPr>
        <w:t>条　本细则应遵循“涉及奖补政策不能溯及既往年度”原则。</w:t>
      </w:r>
    </w:p>
    <w:p w14:paraId="644F16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default"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七</w:t>
      </w:r>
      <w:r>
        <w:rPr>
          <w:rFonts w:hint="default" w:ascii="仿宋_GB2312" w:hAnsi="仿宋_GB2312" w:eastAsia="仿宋_GB2312" w:cs="仿宋_GB2312"/>
          <w:i w:val="0"/>
          <w:iCs w:val="0"/>
          <w:caps w:val="0"/>
          <w:color w:val="auto"/>
          <w:spacing w:val="0"/>
          <w:sz w:val="32"/>
          <w:szCs w:val="32"/>
          <w:shd w:val="clear" w:fill="FFFFFF"/>
        </w:rPr>
        <w:t>条　本细则由市交通运输局和市财政局共同负责解释。</w:t>
      </w:r>
    </w:p>
    <w:p w14:paraId="4D98F8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29"/>
        <w:jc w:val="left"/>
        <w:textAlignment w:val="auto"/>
        <w:rPr>
          <w:rFonts w:hint="eastAsia"/>
          <w:lang w:val="en-US" w:eastAsia="zh-CN"/>
        </w:rPr>
      </w:pPr>
      <w:r>
        <w:rPr>
          <w:rFonts w:hint="default" w:ascii="仿宋_GB2312" w:hAnsi="仿宋_GB2312" w:eastAsia="仿宋_GB2312" w:cs="仿宋_GB2312"/>
          <w:i w:val="0"/>
          <w:iCs w:val="0"/>
          <w:caps w:val="0"/>
          <w:color w:val="auto"/>
          <w:spacing w:val="0"/>
          <w:sz w:val="32"/>
          <w:szCs w:val="32"/>
          <w:shd w:val="clear" w:fill="FFFFFF"/>
        </w:rPr>
        <w:t>第十</w:t>
      </w:r>
      <w:r>
        <w:rPr>
          <w:rFonts w:hint="eastAsia" w:ascii="仿宋_GB2312" w:hAnsi="仿宋_GB2312" w:eastAsia="仿宋_GB2312" w:cs="仿宋_GB2312"/>
          <w:i w:val="0"/>
          <w:iCs w:val="0"/>
          <w:caps w:val="0"/>
          <w:color w:val="auto"/>
          <w:spacing w:val="0"/>
          <w:sz w:val="32"/>
          <w:szCs w:val="32"/>
          <w:shd w:val="clear" w:fill="FFFFFF"/>
          <w:lang w:eastAsia="zh-CN"/>
        </w:rPr>
        <w:t>八</w:t>
      </w:r>
      <w:r>
        <w:rPr>
          <w:rFonts w:hint="default" w:ascii="仿宋_GB2312" w:hAnsi="仿宋_GB2312" w:eastAsia="仿宋_GB2312" w:cs="仿宋_GB2312"/>
          <w:i w:val="0"/>
          <w:iCs w:val="0"/>
          <w:caps w:val="0"/>
          <w:color w:val="auto"/>
          <w:spacing w:val="0"/>
          <w:sz w:val="32"/>
          <w:szCs w:val="32"/>
          <w:shd w:val="clear" w:fill="FFFFFF"/>
        </w:rPr>
        <w:t>条　本细则自发布之日起实施，有效期与《实施意见》一致。</w:t>
      </w:r>
    </w:p>
    <w:p w14:paraId="33D44474">
      <w:pPr>
        <w:pStyle w:val="3"/>
        <w:ind w:left="0" w:leftChars="0" w:firstLine="0" w:firstLineChars="0"/>
        <w:rPr>
          <w:rFonts w:hint="eastAsia"/>
          <w:lang w:val="en-US" w:eastAsia="zh-CN"/>
        </w:rPr>
      </w:pPr>
    </w:p>
    <w:p w14:paraId="4D7565DD">
      <w:pPr>
        <w:keepNext w:val="0"/>
        <w:keepLines w:val="0"/>
        <w:pageBreakBefore w:val="0"/>
        <w:widowControl w:val="0"/>
        <w:kinsoku/>
        <w:wordWrap/>
        <w:overflowPunct/>
        <w:topLinePunct w:val="0"/>
        <w:autoSpaceDE/>
        <w:autoSpaceDN/>
        <w:bidi w:val="0"/>
        <w:adjustRightInd/>
        <w:snapToGrid/>
        <w:spacing w:line="600" w:lineRule="exact"/>
        <w:ind w:firstLine="280" w:firstLineChars="100"/>
        <w:jc w:val="left"/>
        <w:textAlignment w:val="auto"/>
        <w:rPr>
          <w:rFonts w:ascii="仿宋_GB2312" w:eastAsia="仿宋_GB2312"/>
          <w:sz w:val="32"/>
          <w:szCs w:val="32"/>
        </w:rPr>
      </w:pPr>
      <w:r>
        <w:rPr>
          <w:rFonts w:hint="eastAsia" w:ascii="仿宋_GB2312" w:hAnsi="仿宋_GB2312" w:eastAsia="仿宋_GB2312" w:cs="仿宋_GB2312"/>
          <w:sz w:val="28"/>
          <w:szCs w:val="28"/>
        </w:rPr>
        <w:t>咸宁市交通运输局办公室</w: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35560</wp:posOffset>
                </wp:positionV>
                <wp:extent cx="5613400" cy="0"/>
                <wp:effectExtent l="0" t="5080" r="0" b="5080"/>
                <wp:wrapNone/>
                <wp:docPr id="11" name="直接连接符 11"/>
                <wp:cNvGraphicFramePr/>
                <a:graphic xmlns:a="http://schemas.openxmlformats.org/drawingml/2006/main">
                  <a:graphicData uri="http://schemas.microsoft.com/office/word/2010/wordprocessingShape">
                    <wps:wsp>
                      <wps:cNvSpPr/>
                      <wps:spPr>
                        <a:xfrm>
                          <a:off x="0" y="0"/>
                          <a:ext cx="56134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42pt;z-index:251661312;mso-width-relative:page;mso-height-relative:page;" filled="f" stroked="t" coordsize="21600,21600" o:gfxdata="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H9iNtEAAAAEAQAADwAAAAAAAAABACAAAAAiAAAAZHJzL2Rvd25yZXYueG1sUEsBAhQAFAAAAAgA&#10;h07iQCXTK5XzAQAA5wMAAA4AAAAAAAAAAQAgAAAAIAEAAGRycy9lMm9Eb2MueG1sUEsFBgAAAAAG&#10;AAYAWQEAAIUFAAAAAA==&#10;">
                <v:fill on="f" focussize="0,0"/>
                <v:stroke weight="0.8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613400" cy="0"/>
                <wp:effectExtent l="0" t="5080" r="0" b="5080"/>
                <wp:wrapNone/>
                <wp:docPr id="10" name="直接连接符 10"/>
                <wp:cNvGraphicFramePr/>
                <a:graphic xmlns:a="http://schemas.openxmlformats.org/drawingml/2006/main">
                  <a:graphicData uri="http://schemas.microsoft.com/office/word/2010/wordprocessingShape">
                    <wps:wsp>
                      <wps:cNvSpPr/>
                      <wps:spPr>
                        <a:xfrm>
                          <a:off x="0" y="0"/>
                          <a:ext cx="56134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2pt;z-index:251662336;mso-width-relative:page;mso-height-relative:page;" filled="f" stroked="t" coordsize="21600,21600" o:gfxdata="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IAbJ0wAAAAYBAAAPAAAAAAAAAAEAIAAAACIAAABkcnMvZG93bnJldi54bWxQSwECFAAUAAAA&#10;CACHTuJAvHhVG/MBAADnAwAADgAAAAAAAAABACAAAAAiAQAAZHJzL2Uyb0RvYy54bWxQSwUGAAAA&#10;AAYABgBZAQAAhwUAAAAA&#10;">
                <v:fill on="f" focussize="0,0"/>
                <v:stroke weight="0.8pt" color="#000000" joinstyle="round"/>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bookmarkStart w:id="0" w:name="_GoBack"/>
      <w:bookmarkEnd w:id="0"/>
    </w:p>
    <w:sectPr>
      <w:footerReference r:id="rId3" w:type="default"/>
      <w:footerReference r:id="rId4" w:type="even"/>
      <w:pgSz w:w="11906" w:h="16838"/>
      <w:pgMar w:top="209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3936EC-9E03-4A82-9780-5EF439F81D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48BAFD5-586E-4459-81EC-11A77ACDEC25}"/>
  </w:font>
  <w:font w:name="仿宋_GB2312">
    <w:panose1 w:val="02010609030101010101"/>
    <w:charset w:val="86"/>
    <w:family w:val="modern"/>
    <w:pitch w:val="default"/>
    <w:sig w:usb0="00000001" w:usb1="080E0000" w:usb2="00000000" w:usb3="00000000" w:csb0="00040000" w:csb1="00000000"/>
    <w:embedRegular r:id="rId3" w:fontKey="{2498737E-39A6-4059-A662-5E370E598957}"/>
  </w:font>
  <w:font w:name="方正小标宋简体">
    <w:panose1 w:val="03000509000000000000"/>
    <w:charset w:val="86"/>
    <w:family w:val="auto"/>
    <w:pitch w:val="default"/>
    <w:sig w:usb0="00000001" w:usb1="080E0000" w:usb2="00000000" w:usb3="00000000" w:csb0="00040000" w:csb1="00000000"/>
    <w:embedRegular r:id="rId4" w:fontKey="{47FE34FC-39A5-4B9B-B198-A87138A3204D}"/>
  </w:font>
  <w:font w:name="方正公文小标宋">
    <w:panose1 w:val="02000500000000000000"/>
    <w:charset w:val="86"/>
    <w:family w:val="auto"/>
    <w:pitch w:val="default"/>
    <w:sig w:usb0="A00002BF" w:usb1="38CF7CFA" w:usb2="00000016" w:usb3="00000000" w:csb0="00040001" w:csb1="00000000"/>
    <w:embedRegular r:id="rId5" w:fontKey="{B1E34096-8E94-400B-8A6E-93D7993EFAEF}"/>
  </w:font>
  <w:font w:name="微软雅黑">
    <w:panose1 w:val="020B0503020204020204"/>
    <w:charset w:val="86"/>
    <w:family w:val="auto"/>
    <w:pitch w:val="default"/>
    <w:sig w:usb0="80000287" w:usb1="280F3C52" w:usb2="00000016" w:usb3="00000000" w:csb0="0004001F" w:csb1="00000000"/>
    <w:embedRegular r:id="rId6" w:fontKey="{2BB28EAE-ABC1-4A21-BB8A-85BDCAD6869D}"/>
  </w:font>
  <w:font w:name="方正仿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52AD">
    <w:pPr>
      <w:pStyle w:val="5"/>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074A6FC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F596">
    <w:pPr>
      <w:pStyle w:val="5"/>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21570D4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C1"/>
    <w:rsid w:val="00004CFA"/>
    <w:rsid w:val="00075CDC"/>
    <w:rsid w:val="001A5E1E"/>
    <w:rsid w:val="001D084A"/>
    <w:rsid w:val="001F7B78"/>
    <w:rsid w:val="002D410E"/>
    <w:rsid w:val="003F7BFE"/>
    <w:rsid w:val="0042025D"/>
    <w:rsid w:val="004870D2"/>
    <w:rsid w:val="004D7DC1"/>
    <w:rsid w:val="004E4BA3"/>
    <w:rsid w:val="005F7A52"/>
    <w:rsid w:val="0067071B"/>
    <w:rsid w:val="006C29E5"/>
    <w:rsid w:val="006C55EF"/>
    <w:rsid w:val="00765408"/>
    <w:rsid w:val="007B3FCA"/>
    <w:rsid w:val="009418EE"/>
    <w:rsid w:val="009436D0"/>
    <w:rsid w:val="00A15652"/>
    <w:rsid w:val="00AB7503"/>
    <w:rsid w:val="00AE5141"/>
    <w:rsid w:val="00B018F8"/>
    <w:rsid w:val="00B649C2"/>
    <w:rsid w:val="00B75483"/>
    <w:rsid w:val="00BC52A8"/>
    <w:rsid w:val="00C116B0"/>
    <w:rsid w:val="00C1553A"/>
    <w:rsid w:val="00C87653"/>
    <w:rsid w:val="00CB3ED7"/>
    <w:rsid w:val="00D60B24"/>
    <w:rsid w:val="00DA3904"/>
    <w:rsid w:val="00DE5871"/>
    <w:rsid w:val="00E17F06"/>
    <w:rsid w:val="00F8268B"/>
    <w:rsid w:val="1CE43180"/>
    <w:rsid w:val="58091569"/>
    <w:rsid w:val="62333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outlineLvl w:val="0"/>
    </w:pPr>
    <w:rPr>
      <w:rFonts w:ascii="Calibri" w:hAnsi="Calibri" w:eastAsia="方正小标宋简体" w:cs="Arial"/>
      <w:bCs/>
      <w:sz w:val="40"/>
      <w:szCs w:val="32"/>
    </w:rPr>
  </w:style>
  <w:style w:type="paragraph" w:styleId="3">
    <w:name w:val="Body Text Indent 2"/>
    <w:basedOn w:val="1"/>
    <w:qFormat/>
    <w:uiPriority w:val="0"/>
    <w:pPr>
      <w:spacing w:line="590" w:lineRule="exact"/>
      <w:ind w:firstLine="880" w:firstLineChars="200"/>
    </w:pPr>
    <w:rPr>
      <w:rFonts w:ascii="Times New Roman" w:hAnsi="Times New Roman" w:eastAsia="方正仿宋_GBK" w:cs="Times New Roman"/>
    </w:rPr>
  </w:style>
  <w:style w:type="paragraph" w:styleId="4">
    <w:name w:val="Balloon Text"/>
    <w:basedOn w:val="1"/>
    <w:link w:val="13"/>
    <w:semiHidden/>
    <w:unhideWhenUsed/>
    <w:qFormat/>
    <w:uiPriority w:val="99"/>
    <w:rPr>
      <w:sz w:val="18"/>
      <w:szCs w:val="18"/>
    </w:r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页眉 Char"/>
    <w:basedOn w:val="9"/>
    <w:link w:val="6"/>
    <w:semiHidden/>
    <w:qFormat/>
    <w:uiPriority w:val="99"/>
    <w:rPr>
      <w:rFonts w:ascii="Calibri" w:hAnsi="Calibri" w:cs="Arial"/>
      <w:kern w:val="2"/>
      <w:sz w:val="18"/>
      <w:szCs w:val="18"/>
    </w:rPr>
  </w:style>
  <w:style w:type="paragraph" w:styleId="12">
    <w:name w:val="List Paragraph"/>
    <w:basedOn w:val="1"/>
    <w:qFormat/>
    <w:uiPriority w:val="34"/>
    <w:pPr>
      <w:ind w:firstLine="420" w:firstLineChars="200"/>
    </w:pPr>
    <w:rPr>
      <w:rFonts w:cs="Times New Roman"/>
    </w:rPr>
  </w:style>
  <w:style w:type="character" w:customStyle="1" w:styleId="13">
    <w:name w:val="批注框文本 Char"/>
    <w:basedOn w:val="9"/>
    <w:link w:val="4"/>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304</Words>
  <Characters>311</Characters>
  <Lines>4</Lines>
  <Paragraphs>1</Paragraphs>
  <TotalTime>2</TotalTime>
  <ScaleCrop>false</ScaleCrop>
  <LinksUpToDate>false</LinksUpToDate>
  <CharactersWithSpaces>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2019-08-20T08:41:00Z</dcterms:created>
  <dc:creator>Administrator</dc:creator>
  <cp:lastModifiedBy>qing </cp:lastModifiedBy>
  <cp:lastPrinted>2026-01-07T02:11:53Z</cp:lastPrinted>
  <dcterms:modified xsi:type="dcterms:W3CDTF">2026-01-07T02:13:35Z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eyJoZGlkIjoiOWQ5NWExZTIwNWI0ZDJiMDU1OTFhMDcyN2U0ZjBiMGUiLCJ1c2VySWQiOiIyMTE5ODMyMzUifQ==</vt:lpwstr>
  </property>
  <property fmtid="{D5CDD505-2E9C-101B-9397-08002B2CF9AE}" pid="3" name="KSOProductBuildVer">
    <vt:lpwstr>2052-12.1.0.24034</vt:lpwstr>
  </property>
  <property fmtid="{D5CDD505-2E9C-101B-9397-08002B2CF9AE}" pid="4" name="ICV">
    <vt:lpwstr>334802B07BF0437FA3207D6E1AB7F357_13</vt:lpwstr>
  </property>
</Properties>
</file>